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90C47" w14:textId="76C8CE40" w:rsidR="00AF7C7E" w:rsidRPr="00AF7C7E" w:rsidRDefault="007D0A35" w:rsidP="00AF7C7E">
      <w:pPr>
        <w:spacing w:line="259" w:lineRule="auto"/>
        <w:ind w:left="0" w:firstLine="0"/>
        <w:rPr>
          <w:rStyle w:val="ReportTemplate"/>
          <w:b/>
          <w:sz w:val="28"/>
          <w:szCs w:val="28"/>
        </w:rPr>
      </w:pPr>
      <w:r>
        <w:rPr>
          <w:rStyle w:val="Style6"/>
          <w:sz w:val="28"/>
          <w:szCs w:val="28"/>
        </w:rPr>
        <w:t>Appendix A - Draft T</w:t>
      </w:r>
      <w:r w:rsidR="00AF7C7E" w:rsidRPr="00AF7C7E">
        <w:rPr>
          <w:rStyle w:val="Style6"/>
          <w:sz w:val="28"/>
          <w:szCs w:val="28"/>
        </w:rPr>
        <w:t xml:space="preserve">erms of </w:t>
      </w:r>
      <w:r>
        <w:rPr>
          <w:rStyle w:val="Style6"/>
          <w:sz w:val="28"/>
          <w:szCs w:val="28"/>
        </w:rPr>
        <w:t>R</w:t>
      </w:r>
      <w:bookmarkStart w:id="0" w:name="_GoBack"/>
      <w:bookmarkEnd w:id="0"/>
      <w:r w:rsidR="00AF7C7E" w:rsidRPr="00AF7C7E">
        <w:rPr>
          <w:rStyle w:val="Style6"/>
          <w:sz w:val="28"/>
          <w:szCs w:val="28"/>
        </w:rPr>
        <w:t xml:space="preserve">eference </w:t>
      </w:r>
    </w:p>
    <w:p w14:paraId="57590C48" w14:textId="77777777" w:rsidR="00AF7C7E" w:rsidRPr="00AF7C7E" w:rsidRDefault="00AF7C7E" w:rsidP="00AF7C7E">
      <w:pPr>
        <w:ind w:left="360" w:hanging="360"/>
        <w:jc w:val="both"/>
        <w:rPr>
          <w:rStyle w:val="Title2"/>
          <w:sz w:val="22"/>
        </w:rPr>
      </w:pPr>
      <w:r w:rsidRPr="00AF7C7E">
        <w:rPr>
          <w:rStyle w:val="Title2"/>
          <w:sz w:val="22"/>
        </w:rPr>
        <w:t>Objectives</w:t>
      </w:r>
    </w:p>
    <w:p w14:paraId="57590C49" w14:textId="77777777" w:rsidR="00AF7C7E" w:rsidRPr="00AF7C7E" w:rsidRDefault="00AF7C7E" w:rsidP="00AF7C7E">
      <w:pPr>
        <w:pStyle w:val="ListParagraph"/>
        <w:numPr>
          <w:ilvl w:val="0"/>
          <w:numId w:val="2"/>
        </w:numPr>
        <w:spacing w:after="0" w:line="240" w:lineRule="auto"/>
        <w:jc w:val="both"/>
        <w:rPr>
          <w:rStyle w:val="Title2"/>
          <w:b w:val="0"/>
          <w:sz w:val="22"/>
        </w:rPr>
      </w:pPr>
      <w:r w:rsidRPr="00AF7C7E">
        <w:rPr>
          <w:rStyle w:val="Title2"/>
          <w:b w:val="0"/>
          <w:sz w:val="22"/>
        </w:rPr>
        <w:t>The overall objective of the Digital Connectivity Working Group (the Group) is to support the work of the People and Places Board to improve digital connectivity for residents of non-metropolitan areas.</w:t>
      </w:r>
    </w:p>
    <w:p w14:paraId="57590C4A" w14:textId="77777777" w:rsidR="00AF7C7E" w:rsidRDefault="00AF7C7E" w:rsidP="00AF7C7E">
      <w:pPr>
        <w:spacing w:after="0" w:line="240" w:lineRule="auto"/>
        <w:ind w:left="0" w:firstLine="0"/>
        <w:jc w:val="both"/>
        <w:rPr>
          <w:rStyle w:val="Title2"/>
          <w:sz w:val="22"/>
        </w:rPr>
      </w:pPr>
    </w:p>
    <w:p w14:paraId="57590C4B" w14:textId="77777777" w:rsidR="00AF7C7E" w:rsidRDefault="00AF7C7E" w:rsidP="00AF7C7E">
      <w:pPr>
        <w:spacing w:after="0" w:line="240" w:lineRule="auto"/>
        <w:ind w:left="0" w:firstLine="0"/>
        <w:jc w:val="both"/>
        <w:rPr>
          <w:rStyle w:val="Title2"/>
          <w:sz w:val="22"/>
        </w:rPr>
      </w:pPr>
      <w:r w:rsidRPr="00AF7C7E">
        <w:rPr>
          <w:rStyle w:val="Title2"/>
          <w:sz w:val="22"/>
        </w:rPr>
        <w:t>Membership</w:t>
      </w:r>
    </w:p>
    <w:p w14:paraId="57590C4C" w14:textId="77777777" w:rsidR="00AF7C7E" w:rsidRPr="00AF7C7E" w:rsidRDefault="00AF7C7E" w:rsidP="00AF7C7E">
      <w:pPr>
        <w:spacing w:after="0" w:line="240" w:lineRule="auto"/>
        <w:ind w:left="0" w:firstLine="0"/>
        <w:jc w:val="both"/>
        <w:rPr>
          <w:rStyle w:val="Title2"/>
          <w:sz w:val="22"/>
        </w:rPr>
      </w:pPr>
    </w:p>
    <w:p w14:paraId="57590C4D" w14:textId="77777777" w:rsidR="00AF7C7E" w:rsidRPr="00AF7C7E" w:rsidRDefault="00AF7C7E" w:rsidP="00AF7C7E">
      <w:pPr>
        <w:pStyle w:val="ListParagraph"/>
        <w:spacing w:after="0" w:line="240" w:lineRule="auto"/>
        <w:jc w:val="both"/>
        <w:rPr>
          <w:rStyle w:val="Title2"/>
          <w:b w:val="0"/>
          <w:sz w:val="22"/>
        </w:rPr>
      </w:pPr>
      <w:r w:rsidRPr="00AF7C7E">
        <w:rPr>
          <w:rStyle w:val="Title2"/>
          <w:b w:val="0"/>
          <w:sz w:val="22"/>
        </w:rPr>
        <w:t>Members will be appointed to the Group by the People and Places Board, and may co-opt other board members as necessary. Due to the narrow focus of the Group, it is not a requirement to reflect the political balance of the board, but the Group must ensure that their work and any recommendations are consistent with a cross-party approach.</w:t>
      </w:r>
    </w:p>
    <w:p w14:paraId="57590C4E" w14:textId="77777777" w:rsidR="00AF7C7E" w:rsidRDefault="00AF7C7E" w:rsidP="00AF7C7E">
      <w:pPr>
        <w:spacing w:after="0" w:line="240" w:lineRule="auto"/>
        <w:ind w:left="0" w:firstLine="0"/>
        <w:jc w:val="both"/>
        <w:rPr>
          <w:rStyle w:val="Title2"/>
          <w:sz w:val="22"/>
        </w:rPr>
      </w:pPr>
    </w:p>
    <w:p w14:paraId="57590C4F" w14:textId="77777777" w:rsidR="00AF7C7E" w:rsidRDefault="00AF7C7E" w:rsidP="00AF7C7E">
      <w:pPr>
        <w:spacing w:after="0" w:line="240" w:lineRule="auto"/>
        <w:ind w:left="0" w:firstLine="0"/>
        <w:jc w:val="both"/>
        <w:rPr>
          <w:rStyle w:val="Title2"/>
          <w:sz w:val="22"/>
        </w:rPr>
      </w:pPr>
      <w:r w:rsidRPr="00AF7C7E">
        <w:rPr>
          <w:rStyle w:val="Title2"/>
          <w:sz w:val="22"/>
        </w:rPr>
        <w:t>Ways of working</w:t>
      </w:r>
    </w:p>
    <w:p w14:paraId="57590C50" w14:textId="77777777" w:rsidR="00AF7C7E" w:rsidRPr="00AF7C7E" w:rsidRDefault="00AF7C7E" w:rsidP="00AF7C7E">
      <w:pPr>
        <w:spacing w:after="0" w:line="240" w:lineRule="auto"/>
        <w:ind w:left="0" w:firstLine="0"/>
        <w:jc w:val="both"/>
        <w:rPr>
          <w:rStyle w:val="Title2"/>
          <w:sz w:val="22"/>
        </w:rPr>
      </w:pPr>
    </w:p>
    <w:p w14:paraId="57590C51" w14:textId="77777777" w:rsidR="00AF7C7E" w:rsidRPr="00AF7C7E" w:rsidRDefault="00AF7C7E" w:rsidP="00AF7C7E">
      <w:pPr>
        <w:pStyle w:val="ListParagraph"/>
        <w:spacing w:after="0" w:line="240" w:lineRule="auto"/>
        <w:jc w:val="both"/>
        <w:rPr>
          <w:rStyle w:val="Title2"/>
          <w:b w:val="0"/>
          <w:sz w:val="22"/>
        </w:rPr>
      </w:pPr>
      <w:r w:rsidRPr="00AF7C7E">
        <w:rPr>
          <w:rStyle w:val="Title2"/>
          <w:b w:val="0"/>
          <w:sz w:val="22"/>
        </w:rPr>
        <w:t xml:space="preserve">The Group must keep LGA officers up to date with their work and activities, including any meetings and conversations held with external stakeholders. However, the group will not be able to commit LGA officers to deliver activities outside of the People and Places Board </w:t>
      </w:r>
      <w:proofErr w:type="spellStart"/>
      <w:r w:rsidRPr="00AF7C7E">
        <w:rPr>
          <w:rStyle w:val="Title2"/>
          <w:b w:val="0"/>
          <w:sz w:val="22"/>
        </w:rPr>
        <w:t>workplan</w:t>
      </w:r>
      <w:proofErr w:type="spellEnd"/>
      <w:r w:rsidRPr="00AF7C7E">
        <w:rPr>
          <w:rStyle w:val="Title2"/>
          <w:b w:val="0"/>
          <w:sz w:val="22"/>
        </w:rPr>
        <w:t xml:space="preserve"> without the full agreement of the People and Places Board lead members or the wider board. </w:t>
      </w:r>
    </w:p>
    <w:p w14:paraId="57590C52" w14:textId="77777777" w:rsidR="00AF7C7E" w:rsidRPr="00AF7C7E" w:rsidRDefault="00AF7C7E" w:rsidP="00AF7C7E">
      <w:pPr>
        <w:pStyle w:val="ListParagraph"/>
        <w:numPr>
          <w:ilvl w:val="0"/>
          <w:numId w:val="0"/>
        </w:numPr>
        <w:spacing w:after="0" w:line="240" w:lineRule="auto"/>
        <w:ind w:left="360"/>
        <w:jc w:val="both"/>
        <w:rPr>
          <w:rStyle w:val="Title2"/>
          <w:b w:val="0"/>
          <w:sz w:val="22"/>
        </w:rPr>
      </w:pPr>
    </w:p>
    <w:p w14:paraId="57590C53" w14:textId="77777777" w:rsidR="00AF7C7E" w:rsidRPr="00AF7C7E" w:rsidRDefault="00AF7C7E" w:rsidP="00AF7C7E">
      <w:pPr>
        <w:pStyle w:val="ListParagraph"/>
        <w:spacing w:after="0" w:line="240" w:lineRule="auto"/>
        <w:jc w:val="both"/>
        <w:rPr>
          <w:rStyle w:val="Title2"/>
          <w:b w:val="0"/>
          <w:sz w:val="22"/>
        </w:rPr>
      </w:pPr>
      <w:r w:rsidRPr="00AF7C7E">
        <w:rPr>
          <w:rStyle w:val="Title2"/>
          <w:b w:val="0"/>
          <w:sz w:val="22"/>
        </w:rPr>
        <w:t xml:space="preserve">The Group will be resourced at officer level by the Association of Directors of Environment, Economy, Planning and Transport (ADEPT), subject to restrictions in paragraph 13. </w:t>
      </w:r>
    </w:p>
    <w:p w14:paraId="57590C54" w14:textId="77777777" w:rsidR="00AF7C7E" w:rsidRPr="00AF7C7E" w:rsidRDefault="00AF7C7E" w:rsidP="00AF7C7E">
      <w:pPr>
        <w:pStyle w:val="ListParagraph"/>
        <w:numPr>
          <w:ilvl w:val="0"/>
          <w:numId w:val="0"/>
        </w:numPr>
        <w:spacing w:after="0" w:line="240" w:lineRule="auto"/>
        <w:ind w:left="360"/>
        <w:jc w:val="both"/>
        <w:rPr>
          <w:rStyle w:val="Title2"/>
          <w:b w:val="0"/>
          <w:sz w:val="22"/>
        </w:rPr>
      </w:pPr>
    </w:p>
    <w:p w14:paraId="57590C55" w14:textId="77777777" w:rsidR="00AF7C7E" w:rsidRPr="00AF7C7E" w:rsidRDefault="00AF7C7E" w:rsidP="00AF7C7E">
      <w:pPr>
        <w:pStyle w:val="ListParagraph"/>
        <w:spacing w:after="0" w:line="240" w:lineRule="auto"/>
        <w:jc w:val="both"/>
        <w:rPr>
          <w:rStyle w:val="Title2"/>
          <w:b w:val="0"/>
          <w:sz w:val="22"/>
        </w:rPr>
      </w:pPr>
      <w:r w:rsidRPr="00AF7C7E">
        <w:rPr>
          <w:rStyle w:val="Title2"/>
          <w:b w:val="0"/>
          <w:sz w:val="22"/>
        </w:rPr>
        <w:t xml:space="preserve">The Group has full discretion to explore its remit. However, in doing so, the Group must give full consideration to, and maintain, public LGA lines. The Group may not make any public comments to press, media or conferences without having first cleared those comments with LGA officers and all political parties. </w:t>
      </w:r>
    </w:p>
    <w:p w14:paraId="57590C56" w14:textId="77777777" w:rsidR="00AF7C7E" w:rsidRPr="00AF7C7E" w:rsidRDefault="00AF7C7E" w:rsidP="00AF7C7E">
      <w:pPr>
        <w:pStyle w:val="ListParagraph"/>
        <w:numPr>
          <w:ilvl w:val="0"/>
          <w:numId w:val="0"/>
        </w:numPr>
        <w:spacing w:after="0" w:line="240" w:lineRule="auto"/>
        <w:ind w:left="360"/>
        <w:jc w:val="both"/>
        <w:rPr>
          <w:rStyle w:val="Title2"/>
          <w:b w:val="0"/>
          <w:sz w:val="22"/>
        </w:rPr>
      </w:pPr>
    </w:p>
    <w:p w14:paraId="57590C57" w14:textId="77777777" w:rsidR="00AF7C7E" w:rsidRDefault="00AF7C7E" w:rsidP="00AF7C7E">
      <w:pPr>
        <w:pStyle w:val="ListParagraph"/>
        <w:spacing w:after="0" w:line="240" w:lineRule="auto"/>
        <w:jc w:val="both"/>
        <w:rPr>
          <w:rStyle w:val="Title2"/>
          <w:b w:val="0"/>
          <w:sz w:val="22"/>
        </w:rPr>
      </w:pPr>
      <w:r w:rsidRPr="00AF7C7E">
        <w:rPr>
          <w:rStyle w:val="Title2"/>
          <w:b w:val="0"/>
          <w:sz w:val="22"/>
        </w:rPr>
        <w:t xml:space="preserve">The Group may wish to publish documents, case studies or research on specific areas of interest. Before doing so, they must first secure the cross-party agreement of the People and Places Board lead members. </w:t>
      </w:r>
    </w:p>
    <w:p w14:paraId="57590C58" w14:textId="77777777" w:rsidR="00AF7C7E" w:rsidRPr="00AF7C7E" w:rsidRDefault="00AF7C7E" w:rsidP="00AF7C7E">
      <w:pPr>
        <w:pStyle w:val="ListParagraph"/>
        <w:numPr>
          <w:ilvl w:val="0"/>
          <w:numId w:val="0"/>
        </w:numPr>
        <w:spacing w:after="0" w:line="240" w:lineRule="auto"/>
        <w:ind w:left="360"/>
        <w:rPr>
          <w:rStyle w:val="Title2"/>
          <w:b w:val="0"/>
          <w:sz w:val="22"/>
        </w:rPr>
      </w:pPr>
    </w:p>
    <w:p w14:paraId="57590C59" w14:textId="77777777" w:rsidR="00AF7C7E" w:rsidRDefault="00AF7C7E" w:rsidP="00AF7C7E">
      <w:pPr>
        <w:spacing w:after="0" w:line="240" w:lineRule="auto"/>
        <w:ind w:left="0" w:firstLine="0"/>
        <w:jc w:val="both"/>
        <w:rPr>
          <w:rStyle w:val="Title2"/>
          <w:sz w:val="22"/>
        </w:rPr>
      </w:pPr>
      <w:r w:rsidRPr="00AF7C7E">
        <w:rPr>
          <w:rStyle w:val="Title2"/>
          <w:sz w:val="22"/>
        </w:rPr>
        <w:t>Finances</w:t>
      </w:r>
    </w:p>
    <w:p w14:paraId="57590C5A" w14:textId="77777777" w:rsidR="00AF7C7E" w:rsidRPr="00AF7C7E" w:rsidRDefault="00AF7C7E" w:rsidP="00AF7C7E">
      <w:pPr>
        <w:spacing w:after="0" w:line="240" w:lineRule="auto"/>
        <w:ind w:left="0" w:firstLine="0"/>
        <w:jc w:val="both"/>
        <w:rPr>
          <w:rStyle w:val="Title2"/>
          <w:sz w:val="22"/>
        </w:rPr>
      </w:pPr>
    </w:p>
    <w:p w14:paraId="57590C5B" w14:textId="77777777" w:rsidR="00AF7C7E" w:rsidRPr="00AF7C7E" w:rsidRDefault="00AF7C7E" w:rsidP="00AF7C7E">
      <w:pPr>
        <w:pStyle w:val="ListParagraph"/>
        <w:spacing w:after="0" w:line="240" w:lineRule="auto"/>
        <w:jc w:val="both"/>
        <w:rPr>
          <w:rStyle w:val="Title2"/>
          <w:b w:val="0"/>
          <w:sz w:val="22"/>
        </w:rPr>
      </w:pPr>
      <w:r w:rsidRPr="00AF7C7E">
        <w:rPr>
          <w:rStyle w:val="Title2"/>
          <w:b w:val="0"/>
          <w:sz w:val="22"/>
        </w:rPr>
        <w:t>The LGA will not be liable for any costs incurred by the Group relating to staffing costs or member travel, beyond those already agreed in relation to attending outside bodies.</w:t>
      </w:r>
    </w:p>
    <w:p w14:paraId="57590C5C" w14:textId="77777777" w:rsidR="00AF7C7E" w:rsidRPr="00AF7C7E" w:rsidRDefault="00AF7C7E" w:rsidP="00AF7C7E">
      <w:pPr>
        <w:pStyle w:val="ListParagraph"/>
        <w:numPr>
          <w:ilvl w:val="0"/>
          <w:numId w:val="0"/>
        </w:numPr>
        <w:spacing w:after="0" w:line="240" w:lineRule="auto"/>
        <w:ind w:left="360"/>
        <w:jc w:val="both"/>
        <w:rPr>
          <w:rStyle w:val="Title2"/>
          <w:b w:val="0"/>
          <w:sz w:val="22"/>
        </w:rPr>
      </w:pPr>
    </w:p>
    <w:p w14:paraId="57590C5D" w14:textId="77777777" w:rsidR="00AF7C7E" w:rsidRDefault="00AF7C7E" w:rsidP="00AF7C7E">
      <w:pPr>
        <w:pStyle w:val="ListParagraph"/>
        <w:spacing w:after="0" w:line="240" w:lineRule="auto"/>
        <w:jc w:val="both"/>
        <w:rPr>
          <w:rStyle w:val="Title2"/>
          <w:b w:val="0"/>
          <w:sz w:val="22"/>
        </w:rPr>
      </w:pPr>
      <w:r w:rsidRPr="00AF7C7E">
        <w:rPr>
          <w:rStyle w:val="Title2"/>
          <w:b w:val="0"/>
          <w:sz w:val="22"/>
        </w:rPr>
        <w:t xml:space="preserve">The Group may make use of LGA meeting facilities without charge, subject to availability. </w:t>
      </w:r>
    </w:p>
    <w:p w14:paraId="57590C5E" w14:textId="77777777" w:rsidR="00AF7C7E" w:rsidRPr="00AF7C7E" w:rsidRDefault="00AF7C7E" w:rsidP="00AF7C7E">
      <w:pPr>
        <w:pStyle w:val="ListParagraph"/>
        <w:numPr>
          <w:ilvl w:val="0"/>
          <w:numId w:val="0"/>
        </w:numPr>
        <w:spacing w:after="0" w:line="240" w:lineRule="auto"/>
        <w:ind w:left="360"/>
        <w:rPr>
          <w:rStyle w:val="Title2"/>
          <w:b w:val="0"/>
          <w:sz w:val="22"/>
        </w:rPr>
      </w:pPr>
    </w:p>
    <w:p w14:paraId="57590C5F" w14:textId="77777777" w:rsidR="00AF7C7E" w:rsidRDefault="00AF7C7E" w:rsidP="00AF7C7E">
      <w:pPr>
        <w:spacing w:after="0" w:line="240" w:lineRule="auto"/>
        <w:ind w:left="0" w:firstLine="0"/>
        <w:jc w:val="both"/>
        <w:rPr>
          <w:rStyle w:val="Title2"/>
          <w:sz w:val="22"/>
        </w:rPr>
      </w:pPr>
      <w:r w:rsidRPr="00AF7C7E">
        <w:rPr>
          <w:rStyle w:val="Title2"/>
          <w:sz w:val="22"/>
        </w:rPr>
        <w:t>Lifespan</w:t>
      </w:r>
    </w:p>
    <w:p w14:paraId="57590C60" w14:textId="77777777" w:rsidR="00AF7C7E" w:rsidRPr="00AF7C7E" w:rsidRDefault="00AF7C7E" w:rsidP="00AF7C7E">
      <w:pPr>
        <w:spacing w:after="0" w:line="240" w:lineRule="auto"/>
        <w:ind w:left="0" w:firstLine="0"/>
        <w:jc w:val="both"/>
        <w:rPr>
          <w:rStyle w:val="Title2"/>
          <w:sz w:val="22"/>
        </w:rPr>
      </w:pPr>
    </w:p>
    <w:p w14:paraId="57590C61" w14:textId="77777777" w:rsidR="00AF7C7E" w:rsidRPr="00AF7C7E" w:rsidRDefault="00AF7C7E" w:rsidP="00AF7C7E">
      <w:pPr>
        <w:pStyle w:val="ListParagraph"/>
        <w:spacing w:after="0" w:line="240" w:lineRule="auto"/>
        <w:jc w:val="both"/>
        <w:rPr>
          <w:rStyle w:val="Title2"/>
          <w:b w:val="0"/>
          <w:sz w:val="22"/>
        </w:rPr>
      </w:pPr>
      <w:r w:rsidRPr="00AF7C7E">
        <w:rPr>
          <w:rStyle w:val="Title2"/>
          <w:b w:val="0"/>
          <w:sz w:val="22"/>
        </w:rPr>
        <w:t>The Group will be overseen by the People and Places Board and will be reviewed in accordance with the annual board cycle. The People and Places Board or the Group itself may also choose to end the group outside of the board cycle if deemed necessary.</w:t>
      </w:r>
    </w:p>
    <w:p w14:paraId="57590C62" w14:textId="77777777" w:rsidR="00FF644B" w:rsidRDefault="00FF644B" w:rsidP="00AF7C7E">
      <w:pPr>
        <w:spacing w:after="0" w:line="240" w:lineRule="auto"/>
      </w:pPr>
    </w:p>
    <w:sectPr w:rsidR="00FF64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90C65" w14:textId="77777777" w:rsidR="00AF7C7E" w:rsidRDefault="00AF7C7E" w:rsidP="00AF7C7E">
      <w:pPr>
        <w:spacing w:after="0" w:line="240" w:lineRule="auto"/>
      </w:pPr>
      <w:r>
        <w:separator/>
      </w:r>
    </w:p>
  </w:endnote>
  <w:endnote w:type="continuationSeparator" w:id="0">
    <w:p w14:paraId="57590C66" w14:textId="77777777" w:rsidR="00AF7C7E" w:rsidRDefault="00AF7C7E" w:rsidP="00A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0C63" w14:textId="77777777" w:rsidR="00AF7C7E" w:rsidRDefault="00AF7C7E" w:rsidP="00AF7C7E">
      <w:pPr>
        <w:spacing w:after="0" w:line="240" w:lineRule="auto"/>
      </w:pPr>
      <w:r>
        <w:separator/>
      </w:r>
    </w:p>
  </w:footnote>
  <w:footnote w:type="continuationSeparator" w:id="0">
    <w:p w14:paraId="57590C64" w14:textId="77777777" w:rsidR="00AF7C7E" w:rsidRDefault="00AF7C7E" w:rsidP="00AF7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05"/>
      <w:gridCol w:w="3221"/>
    </w:tblGrid>
    <w:tr w:rsidR="00AF7C7E" w14:paraId="57590C69" w14:textId="77777777" w:rsidTr="00FB760F">
      <w:tc>
        <w:tcPr>
          <w:tcW w:w="5920" w:type="dxa"/>
          <w:vMerge w:val="restart"/>
          <w:hideMark/>
        </w:tcPr>
        <w:p w14:paraId="57590C67" w14:textId="77777777" w:rsidR="00AF7C7E" w:rsidRDefault="00AF7C7E" w:rsidP="00AF7C7E">
          <w:pPr>
            <w:pStyle w:val="Header"/>
            <w:tabs>
              <w:tab w:val="center" w:pos="2923"/>
            </w:tabs>
            <w:rPr>
              <w:rFonts w:ascii="Frutiger 45 Light" w:eastAsia="Times New Roman" w:hAnsi="Frutiger 45 Light"/>
              <w:lang w:eastAsia="en-GB"/>
            </w:rPr>
          </w:pPr>
          <w:r>
            <w:rPr>
              <w:rFonts w:ascii="Frutiger 45 Light" w:hAnsi="Frutiger 45 Light"/>
              <w:noProof/>
              <w:lang w:eastAsia="en-GB"/>
            </w:rPr>
            <w:drawing>
              <wp:anchor distT="0" distB="0" distL="114300" distR="114300" simplePos="0" relativeHeight="251659264" behindDoc="1" locked="0" layoutInCell="1" allowOverlap="1" wp14:anchorId="57590C71" wp14:editId="57590C72">
                <wp:simplePos x="0" y="0"/>
                <wp:positionH relativeFrom="column">
                  <wp:posOffset>-1270</wp:posOffset>
                </wp:positionH>
                <wp:positionV relativeFrom="paragraph">
                  <wp:posOffset>95250</wp:posOffset>
                </wp:positionV>
                <wp:extent cx="1085850" cy="647700"/>
                <wp:effectExtent l="0" t="0" r="0" b="0"/>
                <wp:wrapNone/>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vAlign w:val="center"/>
        </w:tcPr>
        <w:p w14:paraId="57590C68" w14:textId="77777777" w:rsidR="00AF7C7E" w:rsidRDefault="00AF7C7E" w:rsidP="00AF7C7E">
          <w:pPr>
            <w:pStyle w:val="Header"/>
            <w:rPr>
              <w:rFonts w:cs="Arial"/>
              <w:b/>
            </w:rPr>
          </w:pPr>
        </w:p>
      </w:tc>
    </w:tr>
    <w:tr w:rsidR="00AF7C7E" w14:paraId="57590C6C" w14:textId="77777777" w:rsidTr="00FB760F">
      <w:trPr>
        <w:trHeight w:val="450"/>
      </w:trPr>
      <w:tc>
        <w:tcPr>
          <w:tcW w:w="0" w:type="auto"/>
          <w:vMerge/>
          <w:vAlign w:val="center"/>
          <w:hideMark/>
        </w:tcPr>
        <w:p w14:paraId="57590C6A" w14:textId="77777777" w:rsidR="00AF7C7E" w:rsidRDefault="00AF7C7E" w:rsidP="00AF7C7E">
          <w:pPr>
            <w:rPr>
              <w:rFonts w:ascii="Frutiger 45 Light" w:hAnsi="Frutiger 45 Light"/>
            </w:rPr>
          </w:pPr>
        </w:p>
      </w:tc>
      <w:tc>
        <w:tcPr>
          <w:tcW w:w="3260" w:type="dxa"/>
          <w:vAlign w:val="center"/>
          <w:hideMark/>
        </w:tcPr>
        <w:p w14:paraId="57590C6B" w14:textId="77777777" w:rsidR="00AF7C7E" w:rsidRDefault="00AF7C7E" w:rsidP="00AF7C7E">
          <w:pPr>
            <w:pStyle w:val="Header"/>
            <w:spacing w:before="60"/>
            <w:rPr>
              <w:rFonts w:cs="Arial"/>
            </w:rPr>
          </w:pPr>
          <w:r>
            <w:rPr>
              <w:rFonts w:cs="Arial"/>
              <w:b/>
            </w:rPr>
            <w:t>People and Places</w:t>
          </w:r>
          <w:r>
            <w:rPr>
              <w:rFonts w:cs="Arial"/>
              <w:b/>
              <w:color w:val="FF0000"/>
            </w:rPr>
            <w:t xml:space="preserve"> </w:t>
          </w:r>
          <w:r>
            <w:rPr>
              <w:rFonts w:cs="Arial"/>
              <w:b/>
            </w:rPr>
            <w:t>Board</w:t>
          </w:r>
        </w:p>
      </w:tc>
    </w:tr>
    <w:tr w:rsidR="00AF7C7E" w14:paraId="57590C6F" w14:textId="77777777" w:rsidTr="00FB760F">
      <w:trPr>
        <w:trHeight w:val="708"/>
      </w:trPr>
      <w:tc>
        <w:tcPr>
          <w:tcW w:w="0" w:type="auto"/>
          <w:vMerge/>
          <w:vAlign w:val="center"/>
          <w:hideMark/>
        </w:tcPr>
        <w:p w14:paraId="57590C6D" w14:textId="77777777" w:rsidR="00AF7C7E" w:rsidRDefault="00AF7C7E" w:rsidP="00AF7C7E">
          <w:pPr>
            <w:rPr>
              <w:rFonts w:ascii="Frutiger 45 Light" w:hAnsi="Frutiger 45 Light"/>
            </w:rPr>
          </w:pPr>
        </w:p>
      </w:tc>
      <w:tc>
        <w:tcPr>
          <w:tcW w:w="3260" w:type="dxa"/>
          <w:vAlign w:val="center"/>
          <w:hideMark/>
        </w:tcPr>
        <w:p w14:paraId="57590C6E" w14:textId="77777777" w:rsidR="00AF7C7E" w:rsidRDefault="00AF7C7E" w:rsidP="00AF7C7E">
          <w:pPr>
            <w:pStyle w:val="Header"/>
            <w:spacing w:before="60"/>
            <w:rPr>
              <w:rFonts w:cs="Arial"/>
            </w:rPr>
          </w:pPr>
          <w:r>
            <w:rPr>
              <w:rFonts w:cs="Arial"/>
            </w:rPr>
            <w:t>30 January 2017</w:t>
          </w:r>
        </w:p>
      </w:tc>
    </w:tr>
  </w:tbl>
  <w:p w14:paraId="57590C70" w14:textId="77777777" w:rsidR="00AF7C7E" w:rsidRDefault="00AF7C7E" w:rsidP="00AF7C7E">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8ECC8D48"/>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7E"/>
    <w:rsid w:val="007D0A35"/>
    <w:rsid w:val="00AF7C7E"/>
    <w:rsid w:val="00FF6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0C47"/>
  <w15:chartTrackingRefBased/>
  <w15:docId w15:val="{61B91073-2F87-48FC-9C3B-C746B6F8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7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 2"/>
    <w:basedOn w:val="DefaultParagraphFont"/>
    <w:uiPriority w:val="1"/>
    <w:qFormat/>
    <w:rsid w:val="00AF7C7E"/>
    <w:rPr>
      <w:rFonts w:ascii="Arial" w:hAnsi="Arial"/>
      <w:b/>
      <w:sz w:val="24"/>
    </w:rPr>
  </w:style>
  <w:style w:type="paragraph" w:styleId="ListParagraph">
    <w:name w:val="List Paragraph"/>
    <w:basedOn w:val="Normal"/>
    <w:link w:val="ListParagraphChar"/>
    <w:uiPriority w:val="34"/>
    <w:qFormat/>
    <w:rsid w:val="00AF7C7E"/>
    <w:pPr>
      <w:numPr>
        <w:numId w:val="1"/>
      </w:numPr>
      <w:contextualSpacing/>
    </w:pPr>
  </w:style>
  <w:style w:type="character" w:customStyle="1" w:styleId="ReportTemplate">
    <w:name w:val="Report Template"/>
    <w:uiPriority w:val="1"/>
    <w:qFormat/>
    <w:rsid w:val="00AF7C7E"/>
  </w:style>
  <w:style w:type="character" w:customStyle="1" w:styleId="ListParagraphChar">
    <w:name w:val="List Paragraph Char"/>
    <w:basedOn w:val="DefaultParagraphFont"/>
    <w:link w:val="ListParagraph"/>
    <w:uiPriority w:val="34"/>
    <w:rsid w:val="00AF7C7E"/>
    <w:rPr>
      <w:rFonts w:ascii="Arial" w:hAnsi="Arial"/>
    </w:rPr>
  </w:style>
  <w:style w:type="character" w:customStyle="1" w:styleId="Style6">
    <w:name w:val="Style6"/>
    <w:basedOn w:val="DefaultParagraphFont"/>
    <w:uiPriority w:val="1"/>
    <w:rsid w:val="00AF7C7E"/>
    <w:rPr>
      <w:rFonts w:ascii="Arial" w:hAnsi="Arial"/>
      <w:b/>
      <w:sz w:val="22"/>
    </w:rPr>
  </w:style>
  <w:style w:type="paragraph" w:styleId="Header">
    <w:name w:val="header"/>
    <w:basedOn w:val="Normal"/>
    <w:link w:val="HeaderChar"/>
    <w:uiPriority w:val="99"/>
    <w:unhideWhenUsed/>
    <w:rsid w:val="00AF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7E"/>
    <w:rPr>
      <w:rFonts w:ascii="Arial" w:hAnsi="Arial"/>
    </w:rPr>
  </w:style>
  <w:style w:type="paragraph" w:styleId="Footer">
    <w:name w:val="footer"/>
    <w:basedOn w:val="Normal"/>
    <w:link w:val="FooterChar"/>
    <w:uiPriority w:val="99"/>
    <w:unhideWhenUsed/>
    <w:rsid w:val="00AF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904AE865</Template>
  <TotalTime>3</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Benn Cain</cp:lastModifiedBy>
  <cp:revision>2</cp:revision>
  <dcterms:created xsi:type="dcterms:W3CDTF">2018-01-24T13:56:00Z</dcterms:created>
  <dcterms:modified xsi:type="dcterms:W3CDTF">2018-01-24T14:59:00Z</dcterms:modified>
</cp:coreProperties>
</file>